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Тезисы для разъяснения  закона об ОСМС</w:t>
      </w:r>
    </w:p>
    <w:p w:rsidR="00000000" w:rsidDel="00000000" w:rsidP="00000000" w:rsidRDefault="00000000" w:rsidRPr="00000000" w14:paraId="00000002">
      <w:pPr>
        <w:spacing w:after="280" w:before="28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Повышение верхнего предела базы взносов для работников и работодателей</w:t>
      </w:r>
    </w:p>
    <w:p w:rsidR="00000000" w:rsidDel="00000000" w:rsidP="00000000" w:rsidRDefault="00000000" w:rsidRPr="00000000" w14:paraId="00000003">
      <w:pPr>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Для обеспечения финансовой устойчивости системы ОСМС с 1 января 2026 года  предлагается повышение верхнего предела базы для исчисления взносов и отчислений  в систему ОСМС.   </w:t>
      </w:r>
    </w:p>
    <w:p w:rsidR="00000000" w:rsidDel="00000000" w:rsidP="00000000" w:rsidRDefault="00000000" w:rsidRPr="00000000" w14:paraId="00000004">
      <w:pPr>
        <w:spacing w:after="20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Теперь работодатели будут отчислять взносы с суммы, не превышающей 40 МЗП, а работники — с суммы до 20 МЗП. </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Это решение позволит одновременно:</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Arial" w:cs="Arial" w:eastAsia="Arial" w:hAnsi="Arial"/>
          <w:sz w:val="24"/>
          <w:szCs w:val="24"/>
          <w:rtl w:val="0"/>
        </w:rPr>
        <w:t xml:space="preserve"> снизить нагрузку на бизнес и граждан,</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Arial" w:cs="Arial" w:eastAsia="Arial" w:hAnsi="Arial"/>
          <w:sz w:val="24"/>
          <w:szCs w:val="24"/>
          <w:rtl w:val="0"/>
        </w:rPr>
        <w:t xml:space="preserve"> сохранить устойчивость и финансовую стабильность страховой модели.</w:t>
      </w:r>
    </w:p>
    <w:p w:rsidR="00000000" w:rsidDel="00000000" w:rsidP="00000000" w:rsidRDefault="00000000" w:rsidRPr="00000000" w14:paraId="00000006">
      <w:pPr>
        <w:spacing w:after="280" w:before="280" w:line="240" w:lineRule="auto"/>
        <w:rPr>
          <w:rFonts w:ascii="Arial" w:cs="Arial" w:eastAsia="Arial" w:hAnsi="Arial"/>
          <w:b w:val="1"/>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tabs>
          <w:tab w:val="left" w:leader="none" w:pos="851"/>
        </w:tabs>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ведение нового предела облагаемой базы:</w:t>
      </w:r>
    </w:p>
    <w:p w:rsidR="00000000" w:rsidDel="00000000" w:rsidP="00000000" w:rsidRDefault="00000000" w:rsidRPr="00000000" w14:paraId="00000008">
      <w:pPr>
        <w:tabs>
          <w:tab w:val="left" w:leader="none" w:pos="851"/>
        </w:tabs>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Повысит справедливость системы: сейчас лица с высокими доходами платят пропорционально меньше.</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Укрепит финансовую стабильность ОСМС, обеспечив дополнительные 200 млрд тенге в 2026 году.</w:t>
      </w:r>
    </w:p>
    <w:p w:rsidR="00000000" w:rsidDel="00000000" w:rsidP="00000000" w:rsidRDefault="00000000" w:rsidRPr="00000000" w14:paraId="0000000B">
      <w:pPr>
        <w:tabs>
          <w:tab w:val="left" w:leader="none" w:pos="851"/>
        </w:tabs>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tabs>
          <w:tab w:val="left" w:leader="none" w:pos="851"/>
        </w:tabs>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Сколько казахстанцев коснется эта мера? </w:t>
      </w:r>
    </w:p>
    <w:p w:rsidR="00000000" w:rsidDel="00000000" w:rsidP="00000000" w:rsidRDefault="00000000" w:rsidRPr="00000000" w14:paraId="0000000D">
      <w:pPr>
        <w:tabs>
          <w:tab w:val="left" w:leader="none" w:pos="851"/>
        </w:tabs>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Взносы на ОСМС увеличатся только для 20 тысяч работников, чей доход составляет выше 3 млн 400  тыс. тенге. Это 0,36 % от  всех наемных работников по стране. </w:t>
      </w:r>
    </w:p>
    <w:p w:rsidR="00000000" w:rsidDel="00000000" w:rsidP="00000000" w:rsidRDefault="00000000" w:rsidRPr="00000000" w14:paraId="0000000F">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 целом, данная норма затронет 9% наемных работников, имеющих доходы свыше 850 тыс. тенге. Для 91% работников ничего не изменится. </w:t>
      </w:r>
    </w:p>
    <w:p w:rsidR="00000000" w:rsidDel="00000000" w:rsidP="00000000" w:rsidRDefault="00000000" w:rsidRPr="00000000" w14:paraId="00000011">
      <w:pP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Если говорить цифрами</w:t>
      </w:r>
    </w:p>
    <w:p w:rsidR="00000000" w:rsidDel="00000000" w:rsidP="00000000" w:rsidRDefault="00000000" w:rsidRPr="00000000" w14:paraId="00000012">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СЕЙЧАС</w:t>
      </w:r>
      <w:r w:rsidDel="00000000" w:rsidR="00000000" w:rsidRPr="00000000">
        <w:rPr>
          <w:rFonts w:ascii="Arial" w:cs="Arial" w:eastAsia="Arial" w:hAnsi="Arial"/>
          <w:sz w:val="24"/>
          <w:szCs w:val="24"/>
          <w:rtl w:val="0"/>
        </w:rPr>
        <w:t xml:space="preserve">: Работники со средней зарплатой в 300 тыс. тенге оплачивают взнос на ОСМС 6 тыс. тенге или  на уровне 2% от дохода. </w:t>
      </w:r>
    </w:p>
    <w:p w:rsidR="00000000" w:rsidDel="00000000" w:rsidP="00000000" w:rsidRDefault="00000000" w:rsidRPr="00000000" w14:paraId="00000013">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При доходе в 1,5 млн тенге, что в 5 раз выше средней зарплаты, срабатывает верхний предел в 10 МЗП (850 тыс. тенге), поэтому взнос не превышает 17 тыс. тенге, или 1,1% от дохода. </w:t>
      </w:r>
    </w:p>
    <w:p w:rsidR="00000000" w:rsidDel="00000000" w:rsidP="00000000" w:rsidRDefault="00000000" w:rsidRPr="00000000" w14:paraId="00000014">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С дохода в 3 млн тенге, что уже в 10 раз выше средней зарплаты, взнос на ОСМС остается таким же - 17 тыс. тенге, или 0,6% от дохода.</w:t>
      </w:r>
    </w:p>
    <w:p w:rsidR="00000000" w:rsidDel="00000000" w:rsidP="00000000" w:rsidRDefault="00000000" w:rsidRPr="00000000" w14:paraId="00000016">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ПОСЛЕ ИЗМЕНЕНИЙ</w:t>
      </w:r>
      <w:r w:rsidDel="00000000" w:rsidR="00000000" w:rsidRPr="00000000">
        <w:rPr>
          <w:rFonts w:ascii="Arial" w:cs="Arial" w:eastAsia="Arial" w:hAnsi="Arial"/>
          <w:sz w:val="24"/>
          <w:szCs w:val="24"/>
          <w:rtl w:val="0"/>
        </w:rPr>
        <w:t xml:space="preserve">: С 2026 года верхний предел суммы для исчисления взносов и отчислений наемных работников и работодателей на ОСМС с учетом размера МЗП   составит: </w:t>
      </w:r>
    </w:p>
    <w:p w:rsidR="00000000" w:rsidDel="00000000" w:rsidP="00000000" w:rsidRDefault="00000000" w:rsidRPr="00000000" w14:paraId="00000018">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Для работников -  1,7  млн тенге и максимальные отчисления составят    34  тыс тенге в месяц;  </w:t>
      </w:r>
    </w:p>
    <w:p w:rsidR="00000000" w:rsidDel="00000000" w:rsidP="00000000" w:rsidRDefault="00000000" w:rsidRPr="00000000" w14:paraId="0000001A">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Для работодателей – 3,4 млн тенге и максимальные отчисления составят 102 тыс в месяц. </w:t>
      </w:r>
    </w:p>
    <w:p w:rsidR="00000000" w:rsidDel="00000000" w:rsidP="00000000" w:rsidRDefault="00000000" w:rsidRPr="00000000" w14:paraId="0000001C">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Важно помнить!</w:t>
      </w:r>
      <w:r w:rsidDel="00000000" w:rsidR="00000000" w:rsidRPr="00000000">
        <w:rPr>
          <w:rFonts w:ascii="Arial" w:cs="Arial" w:eastAsia="Arial" w:hAnsi="Arial"/>
          <w:sz w:val="24"/>
          <w:szCs w:val="24"/>
          <w:rtl w:val="0"/>
        </w:rPr>
        <w:t xml:space="preserve"> Ставка взносов для работников и работодателей не меняется. Повышается только верхний порог доходов для исчисления взносов и отчислений в систему ОСМС! </w:t>
      </w:r>
    </w:p>
    <w:p w:rsidR="00000000" w:rsidDel="00000000" w:rsidP="00000000" w:rsidRDefault="00000000" w:rsidRPr="00000000" w14:paraId="0000001E">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Пример: В настоящее время при уплате взносов на ОСМС, у лиц, получающих заработную плату выше 850 000 тенге, нагрузка в пропорциональном соотношении к доходу ниже. К примеру, санитарка в больнице, получающая заработную плату в размере 150 000 тенге, в пропорциональном соотношении к доходу, оплачивает </w:t>
      </w:r>
      <w:r w:rsidDel="00000000" w:rsidR="00000000" w:rsidRPr="00000000">
        <w:rPr>
          <w:rFonts w:ascii="Arial" w:cs="Arial" w:eastAsia="Arial" w:hAnsi="Arial"/>
          <w:b w:val="1"/>
          <w:i w:val="1"/>
          <w:sz w:val="24"/>
          <w:szCs w:val="24"/>
          <w:rtl w:val="0"/>
        </w:rPr>
        <w:t xml:space="preserve">2% на ОСМС</w:t>
      </w: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020">
      <w:pPr>
        <w:spacing w:after="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Вместе с тем, человек, получающий                         3, 4 млн  тенге, в пропорциональном соотношении к доходу оплачивает </w:t>
      </w:r>
      <w:r w:rsidDel="00000000" w:rsidR="00000000" w:rsidRPr="00000000">
        <w:rPr>
          <w:rFonts w:ascii="Arial" w:cs="Arial" w:eastAsia="Arial" w:hAnsi="Arial"/>
          <w:b w:val="1"/>
          <w:i w:val="1"/>
          <w:sz w:val="24"/>
          <w:szCs w:val="24"/>
          <w:rtl w:val="0"/>
        </w:rPr>
        <w:t xml:space="preserve">0,5% на ОСМС</w:t>
      </w:r>
      <w:r w:rsidDel="00000000" w:rsidR="00000000" w:rsidRPr="00000000">
        <w:rPr>
          <w:rFonts w:ascii="Arial" w:cs="Arial" w:eastAsia="Arial" w:hAnsi="Arial"/>
          <w:i w:val="1"/>
          <w:sz w:val="24"/>
          <w:szCs w:val="24"/>
          <w:rtl w:val="0"/>
        </w:rPr>
        <w:t xml:space="preserve">. В данном случае, нельзя говорить о соблюдении принципа социального равенства и справедливости.</w:t>
      </w:r>
    </w:p>
    <w:p w:rsidR="00000000" w:rsidDel="00000000" w:rsidP="00000000" w:rsidRDefault="00000000" w:rsidRPr="00000000" w14:paraId="00000022">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tabs>
          <w:tab w:val="left" w:leader="none" w:pos="851"/>
        </w:tabs>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ПОЭТАПНОЕ ПОВЫШЕНИЕ СТАВОК ВЗНОСОВ ГОСУДАРСТВА</w:t>
      </w:r>
    </w:p>
    <w:p w:rsidR="00000000" w:rsidDel="00000000" w:rsidP="00000000" w:rsidRDefault="00000000" w:rsidRPr="00000000" w14:paraId="00000026">
      <w:pPr>
        <w:tabs>
          <w:tab w:val="left" w:leader="none" w:pos="851"/>
        </w:tabs>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На сегодняшний день взносы государства в ОСМС за льготные категории населения  составляют 2%,  в то время как:</w:t>
      </w:r>
    </w:p>
    <w:p w:rsidR="00000000" w:rsidDel="00000000" w:rsidP="00000000" w:rsidRDefault="00000000" w:rsidRPr="00000000" w14:paraId="00000028">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 Словакии ставка — 14%.</w:t>
      </w:r>
    </w:p>
    <w:p w:rsidR="00000000" w:rsidDel="00000000" w:rsidP="00000000" w:rsidRDefault="00000000" w:rsidRPr="00000000" w14:paraId="0000002A">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 Литве — 9%.</w:t>
      </w:r>
    </w:p>
    <w:p w:rsidR="00000000" w:rsidDel="00000000" w:rsidP="00000000" w:rsidRDefault="00000000" w:rsidRPr="00000000" w14:paraId="0000002B">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В Чехии — 14,5%.</w:t>
      </w:r>
    </w:p>
    <w:p w:rsidR="00000000" w:rsidDel="00000000" w:rsidP="00000000" w:rsidRDefault="00000000" w:rsidRPr="00000000" w14:paraId="0000002C">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tabs>
          <w:tab w:val="left" w:leader="none" w:pos="851"/>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С 2027 года предусмотрено поэтапное повышение взносов государства с 2%  до 4,7 % к 2037 году. Это позволит:</w:t>
      </w:r>
    </w:p>
    <w:p w:rsidR="00000000" w:rsidDel="00000000" w:rsidP="00000000" w:rsidRDefault="00000000" w:rsidRPr="00000000" w14:paraId="0000002E">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 увеличивать взносы для работников и работодателей.</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Поддерживать стабильность финансирования медицинской помощи в долгосрочной перспективе.</w:t>
      </w:r>
    </w:p>
    <w:p w:rsidR="00000000" w:rsidDel="00000000" w:rsidP="00000000" w:rsidRDefault="00000000" w:rsidRPr="00000000" w14:paraId="00000031">
      <w:pPr>
        <w:tabs>
          <w:tab w:val="left" w:leader="none" w:pos="851"/>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w:t>
      </w:r>
      <w:r w:rsidDel="00000000" w:rsidR="00000000" w:rsidRPr="00000000">
        <w:rPr>
          <w:rFonts w:ascii="Arial" w:cs="Arial" w:eastAsia="Arial" w:hAnsi="Arial"/>
          <w:color w:val="000000"/>
          <w:sz w:val="24"/>
          <w:szCs w:val="24"/>
          <w:rtl w:val="0"/>
        </w:rPr>
        <w:t xml:space="preserve"> Мы формируем систему ОСМС с чёткими, справедливыми и понятными правилами для всех участников.</w:t>
        <w:br w:type="textWrapping"/>
      </w:r>
    </w:p>
    <w:p w:rsidR="00000000" w:rsidDel="00000000" w:rsidP="00000000" w:rsidRDefault="00000000" w:rsidRPr="00000000" w14:paraId="00000033">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Главный бенефициар этой системы — пациент. И наша задача — обеспечить ему своевременную, качественную и доступную медицинскую помощь.</w:t>
      </w:r>
    </w:p>
    <w:p w:rsidR="00000000" w:rsidDel="00000000" w:rsidP="00000000" w:rsidRDefault="00000000" w:rsidRPr="00000000" w14:paraId="00000034">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pBdr>
          <w:bottom w:color="ffffff" w:space="31" w:sz="4" w:val="single"/>
        </w:pBdr>
        <w:tabs>
          <w:tab w:val="left" w:leader="none" w:pos="851"/>
        </w:tabs>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МӘМС туралы заңды түсіндіру бойынша тезистер</w:t>
      </w:r>
    </w:p>
    <w:p w:rsidR="00000000" w:rsidDel="00000000" w:rsidP="00000000" w:rsidRDefault="00000000" w:rsidRPr="00000000" w14:paraId="00000037">
      <w:pPr>
        <w:pBdr>
          <w:bottom w:color="ffffff" w:space="31" w:sz="4" w:val="single"/>
        </w:pBdr>
        <w:tabs>
          <w:tab w:val="left" w:leader="none" w:pos="851"/>
        </w:tabs>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38">
      <w:pPr>
        <w:pBdr>
          <w:bottom w:color="ffffff" w:space="31" w:sz="4" w:val="single"/>
        </w:pBdr>
        <w:tabs>
          <w:tab w:val="left" w:leader="none" w:pos="851"/>
        </w:tabs>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Қызметкерлер мен жұмыс берушілер үшін жарналар базасының жоғарғы шегін арттыру</w:t>
      </w:r>
    </w:p>
    <w:p w:rsidR="00000000" w:rsidDel="00000000" w:rsidP="00000000" w:rsidRDefault="00000000" w:rsidRPr="00000000" w14:paraId="00000039">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МӘМС жүйесінің қаржылық тұрақтылығын қамтамасыз ету үшін 2026 жылғы 1 қаңтардан бастап МӘМС жүйесіне жарналар мен аударымдарды есептеу үшін базаның жоғарғы шегін арттыру ұсынылады.   </w:t>
      </w:r>
    </w:p>
    <w:p w:rsidR="00000000" w:rsidDel="00000000" w:rsidP="00000000" w:rsidRDefault="00000000" w:rsidRPr="00000000" w14:paraId="0000003B">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Енді жұмыс берушілер жарналарды 40 ЕТЖ-дан аспайтын сомадан, ал қызметкерлер - 20 ЕТЖ-ға дейінгі сомадан аударатын болады. </w:t>
      </w:r>
    </w:p>
    <w:p w:rsidR="00000000" w:rsidDel="00000000" w:rsidP="00000000" w:rsidRDefault="00000000" w:rsidRPr="00000000" w14:paraId="0000003C">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Бұл шешім бір уақытта  мынаған мүмкіндік береді:</w:t>
      </w:r>
    </w:p>
    <w:p w:rsidR="00000000" w:rsidDel="00000000" w:rsidP="00000000" w:rsidRDefault="00000000" w:rsidRPr="00000000" w14:paraId="0000003D">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w:t>
      </w:r>
      <w:r w:rsidDel="00000000" w:rsidR="00000000" w:rsidRPr="00000000">
        <w:rPr>
          <w:rFonts w:ascii="Arial" w:cs="Arial" w:eastAsia="Arial" w:hAnsi="Arial"/>
          <w:color w:val="000000"/>
          <w:sz w:val="24"/>
          <w:szCs w:val="24"/>
          <w:rtl w:val="0"/>
        </w:rPr>
        <w:t xml:space="preserve"> бизнес пен азаматтарға жүктемені азайту,</w:t>
      </w:r>
    </w:p>
    <w:p w:rsidR="00000000" w:rsidDel="00000000" w:rsidP="00000000" w:rsidRDefault="00000000" w:rsidRPr="00000000" w14:paraId="0000003E">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w:t>
      </w:r>
      <w:r w:rsidDel="00000000" w:rsidR="00000000" w:rsidRPr="00000000">
        <w:rPr>
          <w:rFonts w:ascii="Arial" w:cs="Arial" w:eastAsia="Arial" w:hAnsi="Arial"/>
          <w:color w:val="000000"/>
          <w:sz w:val="24"/>
          <w:szCs w:val="24"/>
          <w:rtl w:val="0"/>
        </w:rPr>
        <w:t xml:space="preserve"> сақтандыру моделінің тұрақтылығы мен қаржылық тұрақтылығын сақтау.</w:t>
      </w:r>
    </w:p>
    <w:p w:rsidR="00000000" w:rsidDel="00000000" w:rsidP="00000000" w:rsidRDefault="00000000" w:rsidRPr="00000000" w14:paraId="0000003F">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w:t>
      </w:r>
    </w:p>
    <w:p w:rsidR="00000000" w:rsidDel="00000000" w:rsidP="00000000" w:rsidRDefault="00000000" w:rsidRPr="00000000" w14:paraId="00000040">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салық салынатын базаның жаңа шегін жүргізу:</w:t>
      </w:r>
    </w:p>
    <w:p w:rsidR="00000000" w:rsidDel="00000000" w:rsidP="00000000" w:rsidRDefault="00000000" w:rsidRPr="00000000" w14:paraId="00000041">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Жүйенің әділдігін арттырады: қазір табысы жоғары адамдар пропорционалды түрде аз төлейді.</w:t>
      </w:r>
    </w:p>
    <w:p w:rsidR="00000000" w:rsidDel="00000000" w:rsidP="00000000" w:rsidRDefault="00000000" w:rsidRPr="00000000" w14:paraId="00000043">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МӘМС қаржылық тұрақтылығын нығайтып, 2026 жылы қосымша 200 млрд теңгені қамтамасыз етеді.</w:t>
      </w:r>
    </w:p>
    <w:p w:rsidR="00000000" w:rsidDel="00000000" w:rsidP="00000000" w:rsidRDefault="00000000" w:rsidRPr="00000000" w14:paraId="00000044">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Бұл шара қанша қазақстандыққа әсер етеді? </w:t>
      </w:r>
    </w:p>
    <w:p w:rsidR="00000000" w:rsidDel="00000000" w:rsidP="00000000" w:rsidRDefault="00000000" w:rsidRPr="00000000" w14:paraId="00000046">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МӘМС жарналары табысы 3 млн 400 мың теңгеден асатын 20 мың қызметкер үшін ғана ұлғаяды. Бұл елдегі барлық жалдамалы жұмысшылардың 0,36%-ын құрайды. </w:t>
      </w:r>
    </w:p>
    <w:p w:rsidR="00000000" w:rsidDel="00000000" w:rsidP="00000000" w:rsidRDefault="00000000" w:rsidRPr="00000000" w14:paraId="00000048">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9">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Жалпы, бұл норма 850 мың теңгеден астам табысы бар жалдамалы қызметкерлердің 9%-ына әсер етеді. Жұмысшылардың 91%-ы үшін ештеңе өзгермейді. </w:t>
      </w:r>
    </w:p>
    <w:p w:rsidR="00000000" w:rsidDel="00000000" w:rsidP="00000000" w:rsidRDefault="00000000" w:rsidRPr="00000000" w14:paraId="0000004A">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Егер біз цифрлармен сөйлесетін болсақ</w:t>
      </w:r>
    </w:p>
    <w:p w:rsidR="00000000" w:rsidDel="00000000" w:rsidP="00000000" w:rsidRDefault="00000000" w:rsidRPr="00000000" w14:paraId="0000004C">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ҚАЗІР: орташа жалақысы 300 мың теңге болатын қызметкерлер МӘМС жарнасын 6 мың теңге немесе табыстың 2% деңгейінде төлейді. </w:t>
      </w:r>
    </w:p>
    <w:p w:rsidR="00000000" w:rsidDel="00000000" w:rsidP="00000000" w:rsidRDefault="00000000" w:rsidRPr="00000000" w14:paraId="0000004D">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Орташа жалақыдан 5 есе жоғары 1,5 млн теңге кіріс кезінде 10 ЕТЖ (850 мың теңге) жоғарғы шегі іске қосылады, сондықтан жарна 17 мың теңгеден немесе табыстың 1,1%-ынан аспайды. </w:t>
      </w:r>
    </w:p>
    <w:p w:rsidR="00000000" w:rsidDel="00000000" w:rsidP="00000000" w:rsidRDefault="00000000" w:rsidRPr="00000000" w14:paraId="0000004E">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Орташа жалақыдан 10 есе жоғары 3 млн теңгедегі табыстан МӘМС жарнасы 17 мың теңгеге немесе табыстың 0,6%-на тең болып қалады.</w:t>
      </w:r>
    </w:p>
    <w:p w:rsidR="00000000" w:rsidDel="00000000" w:rsidP="00000000" w:rsidRDefault="00000000" w:rsidRPr="00000000" w14:paraId="00000050">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ӨЗГЕРІСТЕРДЕН КЕЙІН: 2026 жылдан бастап ЕТЖ мөлшерін ескере отырып, МӘМС-ке жалдамалы қызметкерлер мен жұмыс берушілердің жарналары мен аударымдарын есептеу үшін соманың жоғарғы шегі: </w:t>
      </w:r>
    </w:p>
    <w:p w:rsidR="00000000" w:rsidDel="00000000" w:rsidP="00000000" w:rsidRDefault="00000000" w:rsidRPr="00000000" w14:paraId="00000052">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Қызметкерлер үшін-1,7 млн теңге және ең жоғары аударымдар айына 34 мың теңгені құрайды;  </w:t>
      </w:r>
    </w:p>
    <w:p w:rsidR="00000000" w:rsidDel="00000000" w:rsidP="00000000" w:rsidRDefault="00000000" w:rsidRPr="00000000" w14:paraId="00000054">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Жұмыс берушілер үшін - 3,4 млн теңге және ең жоғары аударымдар айына 102 мың теңгені құрайды. </w:t>
      </w:r>
    </w:p>
    <w:p w:rsidR="00000000" w:rsidDel="00000000" w:rsidP="00000000" w:rsidRDefault="00000000" w:rsidRPr="00000000" w14:paraId="00000056">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7">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Есте сақтау маңызды! Жұмысшылар мен жұмыс берушілер үшін жарна мөлшерлемесі өзгермейді. МӘМС жүйесіне жарналар мен аударымдарды есептеу үшін кірістердің жоғарғы шегі ғана көтеріледі! </w:t>
      </w:r>
    </w:p>
    <w:p w:rsidR="00000000" w:rsidDel="00000000" w:rsidP="00000000" w:rsidRDefault="00000000" w:rsidRPr="00000000" w14:paraId="00000058">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9">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Мысалы: қазіргі уақытта МӘМС жарналарын төлеу кезінде 850 000 теңгеден жоғары жалақы алатын адамдарда табысқа пропорционалды арақатынастағы жүктеме төмен болады. Мысалы, 150 000 теңге мөлшерінде жалақы алатын ауруханадағы санитар дәрігер табысқа пропорционалды түрде МӘМС-ке 2% төлейді. </w:t>
      </w:r>
    </w:p>
    <w:p w:rsidR="00000000" w:rsidDel="00000000" w:rsidP="00000000" w:rsidRDefault="00000000" w:rsidRPr="00000000" w14:paraId="0000005A">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Сонымен қатар, 3, 4 млн теңге алатын адам табысқа пропорционалды қатынаста МӘМС-ке 0,5% төлейді. Бұл жағдайда әлеуметтік теңдік пен әділеттілік қағидатын сақтау туралы айту мүмкін емес.</w:t>
      </w:r>
    </w:p>
    <w:p w:rsidR="00000000" w:rsidDel="00000000" w:rsidP="00000000" w:rsidRDefault="00000000" w:rsidRPr="00000000" w14:paraId="0000005C">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D">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pBdr>
          <w:bottom w:color="ffffff" w:space="31" w:sz="4" w:val="single"/>
        </w:pBdr>
        <w:tabs>
          <w:tab w:val="left" w:leader="none" w:pos="851"/>
        </w:tabs>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МЕМЛЕКЕТ ЖАРНАЛАРЫНЫҢ МӨЛШЕРЛЕМЕЛЕРІН КЕЗЕҢ-КЕЗЕҢІМЕН АРТТЫРУ</w:t>
      </w:r>
    </w:p>
    <w:p w:rsidR="00000000" w:rsidDel="00000000" w:rsidP="00000000" w:rsidRDefault="00000000" w:rsidRPr="00000000" w14:paraId="00000060">
      <w:pPr>
        <w:pBdr>
          <w:bottom w:color="ffffff" w:space="31" w:sz="4" w:val="single"/>
        </w:pBdr>
        <w:tabs>
          <w:tab w:val="left" w:leader="none" w:pos="851"/>
        </w:tabs>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1">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Бүгінгі таңда халықтың жеңілдетілген санаттары үшін мемлекеттің МӘМС жарналары 2%-ды құрайды, ал:</w:t>
      </w:r>
    </w:p>
    <w:p w:rsidR="00000000" w:rsidDel="00000000" w:rsidP="00000000" w:rsidRDefault="00000000" w:rsidRPr="00000000" w14:paraId="00000063">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Словакияда мөлшерлеме - 14%.</w:t>
      </w:r>
    </w:p>
    <w:p w:rsidR="00000000" w:rsidDel="00000000" w:rsidP="00000000" w:rsidRDefault="00000000" w:rsidRPr="00000000" w14:paraId="00000065">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Литвада - 9%.</w:t>
      </w:r>
    </w:p>
    <w:p w:rsidR="00000000" w:rsidDel="00000000" w:rsidP="00000000" w:rsidRDefault="00000000" w:rsidRPr="00000000" w14:paraId="00000066">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Чехияда - 14,5%.</w:t>
      </w:r>
    </w:p>
    <w:p w:rsidR="00000000" w:rsidDel="00000000" w:rsidP="00000000" w:rsidRDefault="00000000" w:rsidRPr="00000000" w14:paraId="00000067">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2027 жылдан бастап мемлекет жарналарын 2037 жылға қарай 2%-дан 4,7%-ға дейін кезең-кезеңімен арттыру көзделген. Бұл:</w:t>
      </w:r>
    </w:p>
    <w:p w:rsidR="00000000" w:rsidDel="00000000" w:rsidP="00000000" w:rsidRDefault="00000000" w:rsidRPr="00000000" w14:paraId="00000069">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Жұмысшылар мен жұмыс берушілер үшін жарналарды ұлғайтпауға.</w:t>
      </w:r>
    </w:p>
    <w:p w:rsidR="00000000" w:rsidDel="00000000" w:rsidP="00000000" w:rsidRDefault="00000000" w:rsidRPr="00000000" w14:paraId="0000006B">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Ұзақ мерзімді перспективада медициналық көмекті қаржыландырудың тұрақтылығын сақтауға мүмкіндік береді.</w:t>
      </w:r>
    </w:p>
    <w:p w:rsidR="00000000" w:rsidDel="00000000" w:rsidP="00000000" w:rsidRDefault="00000000" w:rsidRPr="00000000" w14:paraId="0000006C">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w:t>
      </w:r>
      <w:r w:rsidDel="00000000" w:rsidR="00000000" w:rsidRPr="00000000">
        <w:rPr>
          <w:rFonts w:ascii="Arial" w:cs="Arial" w:eastAsia="Arial" w:hAnsi="Arial"/>
          <w:color w:val="000000"/>
          <w:sz w:val="24"/>
          <w:szCs w:val="24"/>
          <w:rtl w:val="0"/>
        </w:rPr>
        <w:t xml:space="preserve"> Біз МӘМС жүйесін барлық қатысушылар үшін нақты, әділ және түсінікті ережелермен қалыптастырамыз.</w:t>
      </w:r>
    </w:p>
    <w:p w:rsidR="00000000" w:rsidDel="00000000" w:rsidP="00000000" w:rsidRDefault="00000000" w:rsidRPr="00000000" w14:paraId="0000006E">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pBdr>
          <w:bottom w:color="ffffff" w:space="31" w:sz="4" w:val="single"/>
        </w:pBdr>
        <w:tabs>
          <w:tab w:val="left" w:leader="none" w:pos="851"/>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Бұл жүйенің негізгі бенефициары - пациент. Біздің міндетіміз - оған уақтылы, сапалы және қолжетімді медициналық көмек көрсету.</w:t>
      </w:r>
    </w:p>
    <w:p w:rsidR="00000000" w:rsidDel="00000000" w:rsidP="00000000" w:rsidRDefault="00000000" w:rsidRPr="00000000" w14:paraId="00000070">
      <w:pPr>
        <w:spacing w:before="280" w:line="240" w:lineRule="auto"/>
        <w:rPr>
          <w:rFonts w:ascii="Arial" w:cs="Arial" w:eastAsia="Arial" w:hAnsi="Arial"/>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K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30" w:customStyle="1">
    <w:name w:val="Заголовок 3 Знак"/>
    <w:basedOn w:val="a0"/>
    <w:link w:val="3"/>
    <w:uiPriority w:val="9"/>
    <w:rsid w:val="00F07E33"/>
    <w:rPr>
      <w:rFonts w:ascii="Times New Roman" w:cs="Times New Roman" w:eastAsia="Times New Roman" w:hAnsi="Times New Roman"/>
      <w:b w:val="1"/>
      <w:bCs w:val="1"/>
      <w:sz w:val="27"/>
      <w:szCs w:val="27"/>
      <w:lang w:eastAsia="ru-RU"/>
    </w:rPr>
  </w:style>
  <w:style w:type="paragraph" w:styleId="a3">
    <w:name w:val="Normal (Web)"/>
    <w:basedOn w:val="a"/>
    <w:uiPriority w:val="99"/>
    <w:semiHidden w:val="1"/>
    <w:unhideWhenUsed w:val="1"/>
    <w:rsid w:val="00F07E33"/>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Strong"/>
    <w:basedOn w:val="a0"/>
    <w:uiPriority w:val="22"/>
    <w:qFormat w:val="1"/>
    <w:rsid w:val="00F07E33"/>
    <w:rPr>
      <w:b w:val="1"/>
      <w:bCs w:val="1"/>
    </w:rPr>
  </w:style>
  <w:style w:type="character" w:styleId="a5">
    <w:name w:val="Emphasis"/>
    <w:basedOn w:val="a0"/>
    <w:uiPriority w:val="20"/>
    <w:qFormat w:val="1"/>
    <w:rsid w:val="00F07E33"/>
    <w:rPr>
      <w:i w:val="1"/>
      <w:iCs w:val="1"/>
    </w:rPr>
  </w:style>
  <w:style w:type="paragraph" w:styleId="a6">
    <w:name w:val="List Paragraph"/>
    <w:basedOn w:val="a"/>
    <w:uiPriority w:val="34"/>
    <w:qFormat w:val="1"/>
    <w:rsid w:val="00FC068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C/5hL3F2a6iAjIPe4YKu7feh2A==">CgMxLjA4AHIhMXpDb2taVnFjMVMtWC0yNFdVbXF1aENjNzFUN0xKX2dY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2025-07-04T09:46:00Z</dcterms:created>
  <dc:creator>Кобжасаров Дамир Асланович</dc:creator>
</cp:coreProperties>
</file>